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6FE" w:rsidRDefault="007366FE">
      <w:pPr>
        <w:rPr>
          <w:rtl/>
        </w:rPr>
      </w:pPr>
    </w:p>
    <w:p w:rsidR="00AB3FB2" w:rsidRDefault="00AB3FB2">
      <w:pPr>
        <w:rPr>
          <w:rtl/>
        </w:rPr>
      </w:pPr>
    </w:p>
    <w:p w:rsidR="00AB3FB2" w:rsidRPr="00C74704" w:rsidRDefault="00AB3FB2">
      <w:pPr>
        <w:rPr>
          <w:rFonts w:asciiTheme="majorBidi" w:hAnsiTheme="majorBidi" w:cstheme="majorBidi"/>
          <w:sz w:val="24"/>
          <w:szCs w:val="24"/>
          <w:rtl/>
        </w:rPr>
      </w:pPr>
    </w:p>
    <w:p w:rsidR="00AB3FB2" w:rsidRPr="00AB72F1" w:rsidRDefault="00AB3FB2" w:rsidP="007253B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Effect of </w:t>
      </w:r>
      <w:r w:rsidR="008E44E3" w:rsidRPr="00AB72F1">
        <w:rPr>
          <w:rFonts w:asciiTheme="majorBidi" w:hAnsiTheme="majorBidi" w:cstheme="majorBidi"/>
          <w:b/>
          <w:bCs/>
          <w:sz w:val="24"/>
          <w:szCs w:val="24"/>
        </w:rPr>
        <w:t>Chromene</w:t>
      </w:r>
      <w:r w:rsidR="007253B6"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 derivatives and their different </w:t>
      </w:r>
      <w:r w:rsidRPr="00AB72F1">
        <w:rPr>
          <w:rFonts w:asciiTheme="majorBidi" w:hAnsiTheme="majorBidi" w:cstheme="majorBidi"/>
          <w:b/>
          <w:bCs/>
          <w:sz w:val="24"/>
          <w:szCs w:val="24"/>
        </w:rPr>
        <w:t>π</w:t>
      </w:r>
      <w:r w:rsidR="007253B6"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-electron distribution </w:t>
      </w:r>
      <w:r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on </w:t>
      </w:r>
      <w:r w:rsidR="007253B6" w:rsidRPr="00AB72F1">
        <w:rPr>
          <w:rFonts w:asciiTheme="majorBidi" w:hAnsiTheme="majorBidi" w:cstheme="majorBidi"/>
          <w:b/>
          <w:bCs/>
          <w:sz w:val="24"/>
          <w:szCs w:val="24"/>
        </w:rPr>
        <w:t>amyloid aggregation processes</w:t>
      </w:r>
      <w:r w:rsidR="008E44E3"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. Emphasis of </w:t>
      </w:r>
      <w:proofErr w:type="spellStart"/>
      <w:r w:rsidR="008E44E3" w:rsidRPr="00AB72F1">
        <w:rPr>
          <w:rFonts w:asciiTheme="majorBidi" w:hAnsiTheme="majorBidi" w:cstheme="majorBidi"/>
          <w:b/>
          <w:bCs/>
          <w:sz w:val="24"/>
          <w:szCs w:val="24"/>
        </w:rPr>
        <w:t>aromaticity</w:t>
      </w:r>
      <w:proofErr w:type="spellEnd"/>
      <w:r w:rsidR="008E44E3" w:rsidRPr="00AB72F1">
        <w:rPr>
          <w:rFonts w:asciiTheme="majorBidi" w:hAnsiTheme="majorBidi" w:cstheme="majorBidi"/>
          <w:b/>
          <w:bCs/>
          <w:sz w:val="24"/>
          <w:szCs w:val="24"/>
        </w:rPr>
        <w:t xml:space="preserve"> in amyloid inhibition</w:t>
      </w:r>
    </w:p>
    <w:p w:rsidR="00AB3FB2" w:rsidRPr="00C74704" w:rsidRDefault="00AB3FB2" w:rsidP="007253B6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sz w:val="24"/>
          <w:szCs w:val="24"/>
        </w:rPr>
      </w:pPr>
    </w:p>
    <w:p w:rsidR="00AB3FB2" w:rsidRPr="00C74704" w:rsidRDefault="00AB3FB2" w:rsidP="00AB72F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sz w:val="24"/>
          <w:szCs w:val="24"/>
          <w:rtl/>
        </w:rPr>
      </w:pPr>
      <w:r w:rsidRPr="00AB72F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AB72F1">
        <w:rPr>
          <w:rFonts w:asciiTheme="majorBidi" w:hAnsiTheme="majorBidi" w:cstheme="majorBidi"/>
          <w:sz w:val="24"/>
          <w:szCs w:val="24"/>
          <w:u w:val="single"/>
        </w:rPr>
        <w:t xml:space="preserve">Hassan </w:t>
      </w:r>
      <w:proofErr w:type="spellStart"/>
      <w:r w:rsidRPr="00AB72F1">
        <w:rPr>
          <w:rFonts w:asciiTheme="majorBidi" w:hAnsiTheme="majorBidi" w:cstheme="majorBidi"/>
          <w:sz w:val="24"/>
          <w:szCs w:val="24"/>
          <w:u w:val="single"/>
        </w:rPr>
        <w:t>Ramshini</w:t>
      </w:r>
      <w:proofErr w:type="spellEnd"/>
      <w:r w:rsidRPr="00C74704">
        <w:rPr>
          <w:rFonts w:asciiTheme="majorBidi" w:hAnsiTheme="majorBidi" w:cstheme="majorBidi"/>
          <w:sz w:val="24"/>
          <w:szCs w:val="24"/>
        </w:rPr>
        <w:t>,</w:t>
      </w:r>
      <w:r w:rsidR="00AB72F1">
        <w:rPr>
          <w:rFonts w:asciiTheme="majorBidi" w:hAnsiTheme="majorBidi" w:cstheme="majorBidi"/>
          <w:sz w:val="24"/>
          <w:szCs w:val="24"/>
        </w:rPr>
        <w:t xml:space="preserve"> </w:t>
      </w:r>
      <w:r w:rsidRPr="00AB72F1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C74704">
        <w:rPr>
          <w:rFonts w:asciiTheme="majorBidi" w:hAnsiTheme="majorBidi" w:cstheme="majorBidi"/>
          <w:sz w:val="24"/>
          <w:szCs w:val="24"/>
        </w:rPr>
        <w:t xml:space="preserve">Sharbano </w:t>
      </w:r>
      <w:proofErr w:type="spellStart"/>
      <w:r w:rsidRPr="00C74704">
        <w:rPr>
          <w:rFonts w:asciiTheme="majorBidi" w:hAnsiTheme="majorBidi" w:cstheme="majorBidi"/>
          <w:sz w:val="24"/>
          <w:szCs w:val="24"/>
        </w:rPr>
        <w:t>Rostami</w:t>
      </w:r>
      <w:proofErr w:type="spellEnd"/>
      <w:r w:rsidR="00AB72F1" w:rsidRPr="00C74704">
        <w:rPr>
          <w:rFonts w:asciiTheme="majorBidi" w:hAnsiTheme="majorBidi" w:cstheme="majorBidi"/>
          <w:sz w:val="24"/>
          <w:szCs w:val="24"/>
        </w:rPr>
        <w:t>,</w:t>
      </w:r>
      <w:r w:rsidR="00AB72F1">
        <w:rPr>
          <w:rFonts w:asciiTheme="majorBidi" w:hAnsiTheme="majorBidi" w:cstheme="majorBidi"/>
          <w:sz w:val="24"/>
          <w:szCs w:val="24"/>
          <w:vertAlign w:val="superscript"/>
        </w:rPr>
        <w:t xml:space="preserve"> 3</w:t>
      </w:r>
      <w:r w:rsidRPr="00C74704">
        <w:rPr>
          <w:rFonts w:asciiTheme="majorBidi" w:hAnsiTheme="majorBidi" w:cstheme="majorBidi"/>
          <w:sz w:val="24"/>
          <w:szCs w:val="24"/>
        </w:rPr>
        <w:t xml:space="preserve"> Reza </w:t>
      </w:r>
      <w:proofErr w:type="spellStart"/>
      <w:r w:rsidRPr="00C74704">
        <w:rPr>
          <w:rFonts w:asciiTheme="majorBidi" w:hAnsiTheme="majorBidi" w:cstheme="majorBidi"/>
          <w:sz w:val="24"/>
          <w:szCs w:val="24"/>
        </w:rPr>
        <w:t>Tayebee</w:t>
      </w:r>
      <w:proofErr w:type="spellEnd"/>
    </w:p>
    <w:p w:rsidR="00AB3FB2" w:rsidRPr="00C74704" w:rsidRDefault="00AB3FB2" w:rsidP="00C74704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</w:pPr>
      <w:r w:rsidRPr="00C74704">
        <w:rPr>
          <w:rFonts w:asciiTheme="majorBidi" w:hAnsiTheme="majorBidi" w:cstheme="majorBidi"/>
          <w:sz w:val="24"/>
          <w:szCs w:val="24"/>
        </w:rPr>
        <w:t xml:space="preserve">1-Biology Department, </w:t>
      </w:r>
      <w:proofErr w:type="spellStart"/>
      <w:r w:rsidRPr="00C74704">
        <w:rPr>
          <w:rFonts w:asciiTheme="majorBidi" w:hAnsiTheme="majorBidi" w:cstheme="majorBidi"/>
          <w:sz w:val="24"/>
          <w:szCs w:val="24"/>
        </w:rPr>
        <w:t>Payam</w:t>
      </w:r>
      <w:proofErr w:type="spellEnd"/>
      <w:r w:rsidRPr="00C74704">
        <w:rPr>
          <w:rFonts w:asciiTheme="majorBidi" w:hAnsiTheme="majorBidi" w:cstheme="majorBidi"/>
          <w:sz w:val="24"/>
          <w:szCs w:val="24"/>
        </w:rPr>
        <w:t xml:space="preserve"> Noor University, 19395-4697 Tehran, Islamic Republic of Iran</w:t>
      </w:r>
    </w:p>
    <w:p w:rsidR="00AB3FB2" w:rsidRPr="00C74704" w:rsidRDefault="00AB3FB2" w:rsidP="00C74704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C74704">
        <w:rPr>
          <w:rFonts w:asciiTheme="majorBidi" w:hAnsiTheme="majorBidi" w:cstheme="majorBidi"/>
          <w:sz w:val="24"/>
          <w:szCs w:val="24"/>
        </w:rPr>
        <w:t xml:space="preserve">2, 3-Department of Chemistry, School of Sciences, Hakim </w:t>
      </w:r>
      <w:proofErr w:type="spellStart"/>
      <w:r w:rsidRPr="00C74704">
        <w:rPr>
          <w:rFonts w:asciiTheme="majorBidi" w:hAnsiTheme="majorBidi" w:cstheme="majorBidi"/>
          <w:sz w:val="24"/>
          <w:szCs w:val="24"/>
        </w:rPr>
        <w:t>Sabzevari</w:t>
      </w:r>
      <w:proofErr w:type="spellEnd"/>
      <w:r w:rsidRPr="00C74704">
        <w:rPr>
          <w:rFonts w:asciiTheme="majorBidi" w:hAnsiTheme="majorBidi" w:cstheme="majorBidi"/>
          <w:sz w:val="24"/>
          <w:szCs w:val="24"/>
        </w:rPr>
        <w:t xml:space="preserve"> University, Iran</w:t>
      </w:r>
    </w:p>
    <w:p w:rsidR="00AB3FB2" w:rsidRPr="00C74704" w:rsidRDefault="00AB3FB2" w:rsidP="00C74704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AB3FB2" w:rsidRPr="00C74704" w:rsidRDefault="00AB3FB2" w:rsidP="00C7470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C74704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Abstract:</w:t>
      </w:r>
    </w:p>
    <w:p w:rsidR="00E46A1F" w:rsidRPr="00C74704" w:rsidRDefault="00AB3FB2" w:rsidP="00AB72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74704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Introduction</w:t>
      </w:r>
      <w:r w:rsidRPr="00C7470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: </w:t>
      </w:r>
      <w:r w:rsidR="002927AD" w:rsidRPr="00C74704">
        <w:rPr>
          <w:rFonts w:asciiTheme="majorBidi" w:hAnsiTheme="majorBidi" w:cstheme="majorBidi"/>
          <w:sz w:val="24"/>
          <w:szCs w:val="24"/>
        </w:rPr>
        <w:t>Neurodegenerative diseases such as Alzheimer’s, Parkinson’s, Huntington’s diseases characterized by accumulation of amyloid fibrils in an insoluble form in the brain.</w:t>
      </w:r>
      <w:r w:rsidR="002927AD" w:rsidRPr="00C74704">
        <w:rPr>
          <w:rFonts w:asciiTheme="majorBidi" w:hAnsiTheme="majorBidi" w:cstheme="majorBidi"/>
          <w:color w:val="000000"/>
          <w:sz w:val="24"/>
          <w:szCs w:val="24"/>
        </w:rPr>
        <w:t xml:space="preserve"> Although the structures of amyloid aggregates and mechanism of aggregation remain unclear, the steric packing of the hydrophobic residues and/or stacking of aromatic amino acid side chains are believed to be the underlying driving forces for aggregation.</w:t>
      </w:r>
      <w:r w:rsidR="00A255EB" w:rsidRPr="00C74704">
        <w:rPr>
          <w:rFonts w:asciiTheme="majorBidi" w:hAnsiTheme="majorBidi" w:cstheme="majorBidi"/>
          <w:color w:val="000000"/>
          <w:sz w:val="24"/>
          <w:szCs w:val="24"/>
        </w:rPr>
        <w:t xml:space="preserve"> Aromatic molecules can interfere with the stacking interactions between aromatic residues side chains of proteins, suggesting that may effect o</w:t>
      </w:r>
      <w:r w:rsidR="00F06879" w:rsidRPr="00C74704">
        <w:rPr>
          <w:rFonts w:asciiTheme="majorBidi" w:hAnsiTheme="majorBidi" w:cstheme="majorBidi"/>
          <w:color w:val="000000"/>
          <w:sz w:val="24"/>
          <w:szCs w:val="24"/>
        </w:rPr>
        <w:t xml:space="preserve">n amyloid aggregation formation. </w:t>
      </w:r>
      <w:r w:rsidR="00E46A1F" w:rsidRPr="00C74704">
        <w:rPr>
          <w:rFonts w:asciiTheme="majorBidi" w:hAnsiTheme="majorBidi" w:cstheme="majorBidi"/>
          <w:sz w:val="24"/>
          <w:szCs w:val="24"/>
        </w:rPr>
        <w:t xml:space="preserve">In this work five </w:t>
      </w:r>
      <w:r w:rsidR="006267AD">
        <w:rPr>
          <w:rFonts w:asciiTheme="majorBidi" w:hAnsiTheme="majorBidi" w:cstheme="majorBidi"/>
          <w:sz w:val="24"/>
          <w:szCs w:val="24"/>
        </w:rPr>
        <w:t>Chromenes</w:t>
      </w:r>
      <w:r w:rsidR="00C74704">
        <w:rPr>
          <w:rFonts w:asciiTheme="majorBidi" w:hAnsiTheme="majorBidi" w:cstheme="majorBidi"/>
          <w:sz w:val="24"/>
          <w:szCs w:val="24"/>
        </w:rPr>
        <w:t xml:space="preserve"> derivative</w:t>
      </w:r>
      <w:r w:rsidR="00E46A1F" w:rsidRPr="00C74704">
        <w:rPr>
          <w:rFonts w:asciiTheme="majorBidi" w:hAnsiTheme="majorBidi" w:cstheme="majorBidi"/>
          <w:sz w:val="24"/>
          <w:szCs w:val="24"/>
        </w:rPr>
        <w:t xml:space="preserve"> with a variety of electron donating and withdrawing groups, along with </w:t>
      </w:r>
      <w:proofErr w:type="spellStart"/>
      <w:r w:rsidR="00E46A1F" w:rsidRPr="00C74704">
        <w:rPr>
          <w:rFonts w:asciiTheme="majorBidi" w:hAnsiTheme="majorBidi" w:cstheme="majorBidi"/>
          <w:sz w:val="24"/>
          <w:szCs w:val="24"/>
        </w:rPr>
        <w:t>heteroaromatic</w:t>
      </w:r>
      <w:proofErr w:type="spellEnd"/>
      <w:r w:rsidR="00E46A1F" w:rsidRPr="00C74704">
        <w:rPr>
          <w:rFonts w:asciiTheme="majorBidi" w:hAnsiTheme="majorBidi" w:cstheme="majorBidi"/>
          <w:sz w:val="24"/>
          <w:szCs w:val="24"/>
        </w:rPr>
        <w:t xml:space="preserve"> surrogates, has been employed to interrogate how π-electron distribution effects amyloid formation.</w:t>
      </w:r>
    </w:p>
    <w:p w:rsidR="00AB3FB2" w:rsidRPr="00C74704" w:rsidRDefault="00AB3FB2" w:rsidP="00AB72F1">
      <w:pPr>
        <w:autoSpaceDE w:val="0"/>
        <w:autoSpaceDN w:val="0"/>
        <w:adjustRightInd w:val="0"/>
        <w:spacing w:after="0" w:line="240" w:lineRule="auto"/>
        <w:ind w:left="90"/>
        <w:jc w:val="both"/>
        <w:rPr>
          <w:rFonts w:asciiTheme="majorBidi" w:hAnsiTheme="majorBidi" w:cstheme="majorBidi"/>
          <w:sz w:val="24"/>
          <w:szCs w:val="24"/>
        </w:rPr>
      </w:pPr>
      <w:r w:rsidRPr="00C7470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</w:p>
    <w:p w:rsidR="00B60E30" w:rsidRPr="00C74704" w:rsidRDefault="00AB3FB2" w:rsidP="00AB72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74704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Material and Methods: </w:t>
      </w:r>
      <w:r w:rsidRPr="00C74704">
        <w:rPr>
          <w:rFonts w:asciiTheme="majorBidi" w:hAnsiTheme="majorBidi" w:cstheme="majorBidi"/>
          <w:color w:val="231F20"/>
          <w:sz w:val="24"/>
          <w:szCs w:val="24"/>
        </w:rPr>
        <w:t xml:space="preserve">Acidic pH and high temperatures were used to drive </w:t>
      </w:r>
      <w:r w:rsidR="00F06879" w:rsidRPr="00C74704">
        <w:rPr>
          <w:rFonts w:asciiTheme="majorBidi" w:hAnsiTheme="majorBidi" w:cstheme="majorBidi"/>
          <w:color w:val="231F20"/>
          <w:sz w:val="24"/>
          <w:szCs w:val="24"/>
        </w:rPr>
        <w:t xml:space="preserve">hen lysozyme </w:t>
      </w:r>
      <w:r w:rsidRPr="00C74704">
        <w:rPr>
          <w:rFonts w:asciiTheme="majorBidi" w:hAnsiTheme="majorBidi" w:cstheme="majorBidi"/>
          <w:color w:val="231F20"/>
          <w:sz w:val="24"/>
          <w:szCs w:val="24"/>
        </w:rPr>
        <w:t xml:space="preserve">towards amyloid formation. </w:t>
      </w:r>
      <w:r w:rsidR="00892104" w:rsidRPr="00C74704">
        <w:rPr>
          <w:rFonts w:asciiTheme="majorBidi" w:hAnsiTheme="majorBidi" w:cstheme="majorBidi"/>
          <w:sz w:val="24"/>
          <w:szCs w:val="24"/>
        </w:rPr>
        <w:t>Various</w:t>
      </w:r>
      <w:r w:rsidR="00B60E30" w:rsidRPr="00C74704">
        <w:rPr>
          <w:rFonts w:asciiTheme="majorBidi" w:hAnsiTheme="majorBidi" w:cstheme="majorBidi"/>
          <w:sz w:val="24"/>
          <w:szCs w:val="24"/>
        </w:rPr>
        <w:t xml:space="preserve"> techniques including Congo red and </w:t>
      </w:r>
      <w:proofErr w:type="spellStart"/>
      <w:r w:rsidR="00B60E30" w:rsidRPr="00C74704">
        <w:rPr>
          <w:rFonts w:asciiTheme="majorBidi" w:hAnsiTheme="majorBidi" w:cstheme="majorBidi"/>
          <w:sz w:val="24"/>
          <w:szCs w:val="24"/>
        </w:rPr>
        <w:t>Thioflavin</w:t>
      </w:r>
      <w:proofErr w:type="spellEnd"/>
      <w:r w:rsidR="00B60E30" w:rsidRPr="00C74704">
        <w:rPr>
          <w:rFonts w:asciiTheme="majorBidi" w:hAnsiTheme="majorBidi" w:cstheme="majorBidi"/>
          <w:sz w:val="24"/>
          <w:szCs w:val="24"/>
        </w:rPr>
        <w:t xml:space="preserve"> T binding assays, atomic force microscopy, Fourier-Transform Infrared spectroscopy and cell-based cytotoxicity assays, such as the MTT reduction test </w:t>
      </w:r>
      <w:r w:rsidR="00B60E30" w:rsidRPr="00C74704">
        <w:rPr>
          <w:rFonts w:asciiTheme="majorBidi" w:hAnsiTheme="majorBidi" w:cstheme="majorBidi"/>
          <w:color w:val="231F20"/>
          <w:sz w:val="24"/>
          <w:szCs w:val="24"/>
        </w:rPr>
        <w:t xml:space="preserve">to characterize the HEWL fibrillation processes were employed. </w:t>
      </w:r>
    </w:p>
    <w:p w:rsidR="00892104" w:rsidRPr="00C74704" w:rsidRDefault="00AB3FB2" w:rsidP="00AB72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74704">
        <w:rPr>
          <w:rFonts w:asciiTheme="majorBidi" w:hAnsiTheme="majorBidi" w:cstheme="majorBidi"/>
          <w:b/>
          <w:bCs/>
          <w:color w:val="231F20"/>
          <w:sz w:val="24"/>
          <w:szCs w:val="24"/>
        </w:rPr>
        <w:t>Results:</w:t>
      </w:r>
      <w:r w:rsidRPr="00C7470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B60E30" w:rsidRPr="00C74704">
        <w:rPr>
          <w:rFonts w:asciiTheme="majorBidi" w:hAnsiTheme="majorBidi" w:cstheme="majorBidi"/>
          <w:sz w:val="24"/>
          <w:szCs w:val="24"/>
        </w:rPr>
        <w:t>Our results showed that all compounds inhibited the formation of amyloid fibrils and their associated toxicity</w:t>
      </w:r>
      <w:r w:rsidR="00F06879" w:rsidRPr="00C74704">
        <w:rPr>
          <w:rFonts w:asciiTheme="majorBidi" w:hAnsiTheme="majorBidi" w:cstheme="majorBidi"/>
          <w:sz w:val="24"/>
          <w:szCs w:val="24"/>
        </w:rPr>
        <w:t>. Morphology of the aggregates in presence of the compounds</w:t>
      </w:r>
      <w:r w:rsidR="00C74704" w:rsidRPr="00C74704">
        <w:rPr>
          <w:rFonts w:asciiTheme="majorBidi" w:hAnsiTheme="majorBidi" w:cstheme="majorBidi"/>
          <w:sz w:val="24"/>
          <w:szCs w:val="24"/>
        </w:rPr>
        <w:t xml:space="preserve"> were</w:t>
      </w:r>
      <w:r w:rsidR="00F06879" w:rsidRPr="00C74704">
        <w:rPr>
          <w:rFonts w:asciiTheme="majorBidi" w:hAnsiTheme="majorBidi" w:cstheme="majorBidi"/>
          <w:sz w:val="24"/>
          <w:szCs w:val="24"/>
        </w:rPr>
        <w:t xml:space="preserve"> </w:t>
      </w:r>
      <w:r w:rsidR="00B60E30" w:rsidRPr="00C74704">
        <w:rPr>
          <w:rFonts w:asciiTheme="majorBidi" w:hAnsiTheme="majorBidi" w:cstheme="majorBidi"/>
          <w:sz w:val="24"/>
          <w:szCs w:val="24"/>
        </w:rPr>
        <w:t>amorphous, unstructured</w:t>
      </w:r>
      <w:r w:rsidR="00C74704" w:rsidRPr="00C74704">
        <w:rPr>
          <w:rFonts w:asciiTheme="majorBidi" w:hAnsiTheme="majorBidi" w:cstheme="majorBidi"/>
          <w:sz w:val="24"/>
          <w:szCs w:val="24"/>
        </w:rPr>
        <w:t xml:space="preserve"> in compere to absence one</w:t>
      </w:r>
      <w:r w:rsidR="00B60E30" w:rsidRPr="00C74704">
        <w:rPr>
          <w:rFonts w:asciiTheme="majorBidi" w:hAnsiTheme="majorBidi" w:cstheme="majorBidi"/>
          <w:sz w:val="24"/>
          <w:szCs w:val="24"/>
        </w:rPr>
        <w:t>.</w:t>
      </w:r>
      <w:r w:rsidRPr="00C7470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892104" w:rsidRPr="00C74704">
        <w:rPr>
          <w:rFonts w:asciiTheme="majorBidi" w:hAnsiTheme="majorBidi" w:cstheme="majorBidi"/>
          <w:sz w:val="24"/>
          <w:szCs w:val="24"/>
        </w:rPr>
        <w:t xml:space="preserve">The effect of various substituents on protein self-assembly reveals that </w:t>
      </w:r>
      <w:r w:rsidR="0033317A" w:rsidRPr="00C74704">
        <w:rPr>
          <w:rFonts w:asciiTheme="majorBidi" w:hAnsiTheme="majorBidi" w:cstheme="majorBidi"/>
          <w:sz w:val="24"/>
          <w:szCs w:val="24"/>
        </w:rPr>
        <w:t>compounds</w:t>
      </w:r>
      <w:r w:rsidR="000F12B2" w:rsidRPr="00C74704">
        <w:rPr>
          <w:rFonts w:asciiTheme="majorBidi" w:hAnsiTheme="majorBidi" w:cstheme="majorBidi"/>
          <w:sz w:val="24"/>
          <w:szCs w:val="24"/>
        </w:rPr>
        <w:t xml:space="preserve"> containing electron donor </w:t>
      </w:r>
      <w:r w:rsidR="00C74704" w:rsidRPr="00C74704">
        <w:rPr>
          <w:rFonts w:asciiTheme="majorBidi" w:hAnsiTheme="majorBidi" w:cstheme="majorBidi"/>
          <w:sz w:val="24"/>
          <w:szCs w:val="24"/>
        </w:rPr>
        <w:t>groups were stronger inhibitor</w:t>
      </w:r>
      <w:r w:rsidR="0033317A" w:rsidRPr="00C74704">
        <w:rPr>
          <w:rFonts w:asciiTheme="majorBidi" w:hAnsiTheme="majorBidi" w:cstheme="majorBidi"/>
          <w:sz w:val="24"/>
          <w:szCs w:val="24"/>
        </w:rPr>
        <w:t>, albeit at different rates.</w:t>
      </w:r>
    </w:p>
    <w:p w:rsidR="00AB3FB2" w:rsidRPr="00C74704" w:rsidRDefault="00AB3FB2" w:rsidP="00AB72F1">
      <w:pPr>
        <w:autoSpaceDE w:val="0"/>
        <w:autoSpaceDN w:val="0"/>
        <w:adjustRightInd w:val="0"/>
        <w:spacing w:after="0" w:line="240" w:lineRule="auto"/>
        <w:ind w:left="90"/>
        <w:jc w:val="both"/>
        <w:rPr>
          <w:rFonts w:asciiTheme="majorBidi" w:hAnsiTheme="majorBidi" w:cstheme="majorBidi"/>
          <w:sz w:val="24"/>
          <w:szCs w:val="24"/>
        </w:rPr>
      </w:pPr>
    </w:p>
    <w:p w:rsidR="0033317A" w:rsidRPr="00C74704" w:rsidRDefault="00AB3FB2" w:rsidP="00AB72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74704">
        <w:rPr>
          <w:rFonts w:asciiTheme="majorBidi" w:hAnsiTheme="majorBidi" w:cstheme="majorBidi"/>
          <w:b/>
          <w:bCs/>
          <w:sz w:val="24"/>
          <w:szCs w:val="24"/>
          <w:lang w:val="en"/>
        </w:rPr>
        <w:t>Conclusion</w:t>
      </w:r>
      <w:r w:rsidRPr="00C74704">
        <w:rPr>
          <w:rFonts w:asciiTheme="majorBidi" w:hAnsiTheme="majorBidi" w:cstheme="majorBidi"/>
          <w:sz w:val="24"/>
          <w:szCs w:val="24"/>
          <w:lang w:val="en"/>
        </w:rPr>
        <w:t xml:space="preserve">: </w:t>
      </w:r>
      <w:r w:rsidR="0033317A" w:rsidRPr="00C74704">
        <w:rPr>
          <w:rFonts w:asciiTheme="majorBidi" w:hAnsiTheme="majorBidi" w:cstheme="majorBidi"/>
          <w:sz w:val="24"/>
          <w:szCs w:val="24"/>
        </w:rPr>
        <w:t>These novel compounds may serve as leads for the development of future aggregation inhibitors. A potential mechanism for inhibition of amyloid self-assembly by electron rich compounds is proposed.</w:t>
      </w:r>
    </w:p>
    <w:p w:rsidR="00AB3FB2" w:rsidRDefault="00AB3FB2" w:rsidP="0033317A">
      <w:pPr>
        <w:autoSpaceDE w:val="0"/>
        <w:autoSpaceDN w:val="0"/>
        <w:adjustRightInd w:val="0"/>
        <w:spacing w:after="0" w:line="240" w:lineRule="auto"/>
        <w:ind w:left="237" w:right="284"/>
        <w:jc w:val="both"/>
        <w:rPr>
          <w:rFonts w:ascii="Times New Roman" w:hAnsi="Times New Roman" w:cs="Times New Roman"/>
          <w:rtl/>
          <w:lang w:val="en"/>
        </w:rPr>
      </w:pPr>
      <w:r w:rsidRPr="00617ED7">
        <w:rPr>
          <w:rFonts w:ascii="Times New Roman" w:hAnsi="Times New Roman" w:cs="Times New Roman"/>
          <w:lang w:val="en"/>
        </w:rPr>
        <w:t xml:space="preserve"> </w:t>
      </w:r>
    </w:p>
    <w:p w:rsidR="00AB3FB2" w:rsidRPr="00F673F2" w:rsidRDefault="00AB3FB2" w:rsidP="00AB72F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Theme="majorBidi" w:hAnsiTheme="majorBidi" w:cstheme="majorBidi"/>
          <w:sz w:val="24"/>
          <w:szCs w:val="24"/>
        </w:rPr>
      </w:pPr>
      <w:r w:rsidRPr="00AB72F1">
        <w:rPr>
          <w:rFonts w:asciiTheme="majorBidi" w:hAnsiTheme="majorBidi" w:cstheme="majorBidi"/>
          <w:b/>
          <w:bCs/>
          <w:color w:val="000000"/>
          <w:sz w:val="24"/>
          <w:szCs w:val="24"/>
        </w:rPr>
        <w:t>Keywords</w:t>
      </w:r>
      <w:r w:rsidRPr="00AB72F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F673F2">
        <w:rPr>
          <w:rFonts w:asciiTheme="majorBidi" w:hAnsiTheme="majorBidi" w:cstheme="majorBidi"/>
          <w:sz w:val="24"/>
          <w:szCs w:val="24"/>
        </w:rPr>
        <w:t xml:space="preserve"> </w:t>
      </w:r>
      <w:r w:rsidR="00F673F2" w:rsidRPr="00F673F2">
        <w:rPr>
          <w:rFonts w:asciiTheme="majorBidi" w:hAnsiTheme="majorBidi" w:cstheme="majorBidi"/>
          <w:sz w:val="24"/>
          <w:szCs w:val="24"/>
        </w:rPr>
        <w:t>Amyloid aggregation, Hen lysozyme, Aromaticity,</w:t>
      </w:r>
      <w:r w:rsidR="00F673F2">
        <w:rPr>
          <w:rFonts w:asciiTheme="majorBidi" w:hAnsiTheme="majorBidi" w:cstheme="majorBidi"/>
          <w:sz w:val="24"/>
          <w:szCs w:val="24"/>
        </w:rPr>
        <w:t xml:space="preserve"> </w:t>
      </w:r>
      <w:r w:rsidR="00126DF4" w:rsidRPr="00F673F2">
        <w:rPr>
          <w:rFonts w:asciiTheme="majorBidi" w:hAnsiTheme="majorBidi" w:cstheme="majorBidi"/>
          <w:sz w:val="24"/>
          <w:szCs w:val="24"/>
        </w:rPr>
        <w:t>C</w:t>
      </w:r>
      <w:r w:rsidRPr="00F673F2">
        <w:rPr>
          <w:rFonts w:asciiTheme="majorBidi" w:hAnsiTheme="majorBidi" w:cstheme="majorBidi"/>
          <w:sz w:val="24"/>
          <w:szCs w:val="24"/>
        </w:rPr>
        <w:t>hromene</w:t>
      </w:r>
      <w:r w:rsidR="00F673F2" w:rsidRPr="00F673F2">
        <w:rPr>
          <w:rFonts w:asciiTheme="majorBidi" w:hAnsiTheme="majorBidi" w:cstheme="majorBidi"/>
          <w:sz w:val="24"/>
          <w:szCs w:val="24"/>
        </w:rPr>
        <w:t xml:space="preserve"> derivatives</w:t>
      </w:r>
    </w:p>
    <w:p w:rsidR="00E46A1F" w:rsidRDefault="00E46A1F" w:rsidP="00AB3FB2">
      <w:pPr>
        <w:autoSpaceDE w:val="0"/>
        <w:autoSpaceDN w:val="0"/>
        <w:adjustRightInd w:val="0"/>
        <w:spacing w:after="0" w:line="240" w:lineRule="auto"/>
        <w:ind w:left="237" w:right="284"/>
        <w:jc w:val="both"/>
        <w:rPr>
          <w:rFonts w:asciiTheme="majorBidi" w:hAnsiTheme="majorBidi" w:cstheme="majorBidi"/>
          <w:sz w:val="20"/>
          <w:szCs w:val="20"/>
        </w:rPr>
      </w:pPr>
    </w:p>
    <w:p w:rsidR="00E46A1F" w:rsidRDefault="00E46A1F" w:rsidP="00E46A1F">
      <w:pPr>
        <w:autoSpaceDE w:val="0"/>
        <w:autoSpaceDN w:val="0"/>
        <w:adjustRightInd w:val="0"/>
        <w:spacing w:after="0" w:line="240" w:lineRule="auto"/>
        <w:ind w:left="237" w:right="284"/>
        <w:jc w:val="both"/>
        <w:rPr>
          <w:rFonts w:ascii="AdvGulliv-R" w:cs="AdvGulliv-R"/>
          <w:sz w:val="14"/>
          <w:szCs w:val="14"/>
        </w:rPr>
      </w:pPr>
    </w:p>
    <w:p w:rsidR="0033317A" w:rsidRDefault="0033317A"/>
    <w:p w:rsidR="0033317A" w:rsidRDefault="0033317A">
      <w:bookmarkStart w:id="0" w:name="_GoBack"/>
      <w:bookmarkEnd w:id="0"/>
    </w:p>
    <w:sectPr w:rsidR="00333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Gulliv-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B2"/>
    <w:rsid w:val="000F12B2"/>
    <w:rsid w:val="00126DF4"/>
    <w:rsid w:val="002927AD"/>
    <w:rsid w:val="0033317A"/>
    <w:rsid w:val="004155E1"/>
    <w:rsid w:val="006267AD"/>
    <w:rsid w:val="007253B6"/>
    <w:rsid w:val="007366FE"/>
    <w:rsid w:val="00892104"/>
    <w:rsid w:val="008E44E3"/>
    <w:rsid w:val="00A255EB"/>
    <w:rsid w:val="00AB3FB2"/>
    <w:rsid w:val="00AB72F1"/>
    <w:rsid w:val="00B60E30"/>
    <w:rsid w:val="00C22B2F"/>
    <w:rsid w:val="00C74704"/>
    <w:rsid w:val="00E46A1F"/>
    <w:rsid w:val="00F06879"/>
    <w:rsid w:val="00F6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66B82E-DE94-47C9-BDF9-433CC163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AB3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17</cp:revision>
  <dcterms:created xsi:type="dcterms:W3CDTF">2019-03-07T05:58:00Z</dcterms:created>
  <dcterms:modified xsi:type="dcterms:W3CDTF">2019-03-09T06:26:00Z</dcterms:modified>
</cp:coreProperties>
</file>